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7402" w14:textId="4B00BE81" w:rsidR="000F1CBE" w:rsidRPr="00D61255" w:rsidRDefault="004B2F71" w:rsidP="008D1B1C">
      <w:pPr>
        <w:ind w:right="282"/>
        <w:jc w:val="mediumKashida"/>
        <w:rPr>
          <w:rFonts w:ascii="Garamond" w:hAnsi="Garamond"/>
          <w:b/>
          <w:bCs/>
          <w:sz w:val="22"/>
          <w:szCs w:val="22"/>
        </w:rPr>
      </w:pPr>
      <w:r w:rsidRPr="00D61255">
        <w:rPr>
          <w:rFonts w:ascii="Garamond" w:hAnsi="Garamond"/>
          <w:b/>
          <w:bCs/>
          <w:sz w:val="22"/>
          <w:szCs w:val="22"/>
        </w:rPr>
        <w:t xml:space="preserve">                                 </w:t>
      </w:r>
      <w:r w:rsidR="008D1B1C" w:rsidRPr="00D61255">
        <w:rPr>
          <w:rFonts w:ascii="Garamond" w:hAnsi="Garamond"/>
          <w:b/>
          <w:bCs/>
          <w:sz w:val="22"/>
          <w:szCs w:val="22"/>
        </w:rPr>
        <w:t>P</w:t>
      </w:r>
      <w:r w:rsidR="009A0400" w:rsidRPr="00D61255">
        <w:rPr>
          <w:rFonts w:ascii="Garamond" w:hAnsi="Garamond"/>
          <w:b/>
          <w:bCs/>
          <w:sz w:val="22"/>
          <w:szCs w:val="22"/>
        </w:rPr>
        <w:t>V</w:t>
      </w:r>
      <w:r w:rsidR="008D1B1C" w:rsidRPr="00D61255">
        <w:rPr>
          <w:rFonts w:ascii="Garamond" w:hAnsi="Garamond"/>
          <w:b/>
          <w:bCs/>
          <w:sz w:val="22"/>
          <w:szCs w:val="22"/>
        </w:rPr>
        <w:t xml:space="preserve"> du</w:t>
      </w:r>
      <w:r w:rsidRPr="00D61255">
        <w:rPr>
          <w:rFonts w:ascii="Garamond" w:hAnsi="Garamond"/>
          <w:b/>
          <w:bCs/>
          <w:sz w:val="22"/>
          <w:szCs w:val="22"/>
        </w:rPr>
        <w:t xml:space="preserve"> conseil municipal du 28 novembre 2023</w:t>
      </w:r>
    </w:p>
    <w:p w14:paraId="76993E97" w14:textId="77777777" w:rsidR="009A0400" w:rsidRPr="00D61255" w:rsidRDefault="009A0400" w:rsidP="008D1B1C">
      <w:pPr>
        <w:ind w:right="282"/>
        <w:jc w:val="mediumKashida"/>
        <w:rPr>
          <w:rFonts w:ascii="Garamond" w:hAnsi="Garamond"/>
          <w:b/>
          <w:bCs/>
          <w:sz w:val="22"/>
          <w:szCs w:val="22"/>
        </w:rPr>
      </w:pPr>
    </w:p>
    <w:p w14:paraId="19BA5CDA" w14:textId="7F8C78BC" w:rsidR="000F1CBE" w:rsidRPr="00D61255" w:rsidRDefault="009A0400" w:rsidP="008D1B1C">
      <w:pPr>
        <w:ind w:right="282"/>
        <w:jc w:val="mediumKashida"/>
        <w:rPr>
          <w:rFonts w:ascii="Garamond" w:hAnsi="Garamond"/>
          <w:sz w:val="22"/>
          <w:szCs w:val="22"/>
        </w:rPr>
      </w:pPr>
      <w:r w:rsidRPr="00D61255">
        <w:rPr>
          <w:rFonts w:ascii="Garamond" w:hAnsi="Garamond"/>
          <w:sz w:val="22"/>
          <w:szCs w:val="22"/>
        </w:rPr>
        <w:t>Convocation envoyée et affichée le 25 novembre</w:t>
      </w:r>
    </w:p>
    <w:p w14:paraId="1D88CECB" w14:textId="77777777" w:rsidR="000F1CBE" w:rsidRPr="00D61255" w:rsidRDefault="000F1CBE" w:rsidP="008D1B1C">
      <w:pPr>
        <w:ind w:right="282"/>
        <w:jc w:val="mediumKashida"/>
        <w:rPr>
          <w:rFonts w:ascii="Garamond" w:hAnsi="Garamond"/>
          <w:sz w:val="22"/>
          <w:szCs w:val="22"/>
        </w:rPr>
      </w:pPr>
    </w:p>
    <w:p w14:paraId="2472130C" w14:textId="5733BD89" w:rsidR="000F1CBE" w:rsidRPr="00D61255" w:rsidRDefault="008D1B1C" w:rsidP="008D1B1C">
      <w:pPr>
        <w:ind w:right="282"/>
        <w:jc w:val="mediumKashida"/>
        <w:rPr>
          <w:rFonts w:ascii="Garamond" w:hAnsi="Garamond"/>
          <w:i/>
          <w:iCs/>
          <w:sz w:val="22"/>
          <w:szCs w:val="22"/>
        </w:rPr>
      </w:pPr>
      <w:r w:rsidRPr="00D61255">
        <w:rPr>
          <w:rFonts w:ascii="Garamond" w:hAnsi="Garamond"/>
          <w:i/>
          <w:iCs/>
          <w:sz w:val="22"/>
          <w:szCs w:val="22"/>
        </w:rPr>
        <w:t>P</w:t>
      </w:r>
      <w:r w:rsidR="004B2F71" w:rsidRPr="00D61255">
        <w:rPr>
          <w:rFonts w:ascii="Garamond" w:hAnsi="Garamond"/>
          <w:i/>
          <w:iCs/>
          <w:sz w:val="22"/>
          <w:szCs w:val="22"/>
        </w:rPr>
        <w:t>résents : Barthomeuf Gérard, Chausse Jacques,</w:t>
      </w:r>
      <w:r w:rsidR="003844A9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="004B2F71" w:rsidRPr="00D61255">
        <w:rPr>
          <w:rFonts w:ascii="Garamond" w:hAnsi="Garamond"/>
          <w:i/>
          <w:iCs/>
          <w:sz w:val="22"/>
          <w:szCs w:val="22"/>
        </w:rPr>
        <w:t>Defay</w:t>
      </w:r>
      <w:proofErr w:type="spellEnd"/>
      <w:r w:rsidR="004B2F71" w:rsidRPr="00D61255">
        <w:rPr>
          <w:rFonts w:ascii="Garamond" w:hAnsi="Garamond"/>
          <w:i/>
          <w:iCs/>
          <w:sz w:val="22"/>
          <w:szCs w:val="22"/>
        </w:rPr>
        <w:t xml:space="preserve"> Martine, Klein Estelle, Rolland Alain, Roussel Isabelle, Annick Sylvain</w:t>
      </w:r>
    </w:p>
    <w:p w14:paraId="7E9B3E69" w14:textId="091FA175" w:rsidR="000F1CBE" w:rsidRPr="00D61255" w:rsidRDefault="004B2F71" w:rsidP="008D1B1C">
      <w:pPr>
        <w:ind w:right="282"/>
        <w:jc w:val="mediumKashida"/>
        <w:rPr>
          <w:rFonts w:ascii="Garamond" w:hAnsi="Garamond"/>
          <w:i/>
          <w:iCs/>
          <w:sz w:val="22"/>
          <w:szCs w:val="22"/>
        </w:rPr>
      </w:pPr>
      <w:r w:rsidRPr="00D61255">
        <w:rPr>
          <w:rFonts w:ascii="Garamond" w:hAnsi="Garamond"/>
          <w:i/>
          <w:iCs/>
          <w:sz w:val="22"/>
          <w:szCs w:val="22"/>
        </w:rPr>
        <w:t>Pouvoir</w:t>
      </w:r>
      <w:r w:rsidR="008D1B1C" w:rsidRPr="00D61255">
        <w:rPr>
          <w:rFonts w:ascii="Garamond" w:hAnsi="Garamond"/>
          <w:i/>
          <w:iCs/>
          <w:sz w:val="22"/>
          <w:szCs w:val="22"/>
        </w:rPr>
        <w:t>s</w:t>
      </w:r>
      <w:r w:rsidRPr="00D61255">
        <w:rPr>
          <w:rFonts w:ascii="Garamond" w:hAnsi="Garamond"/>
          <w:i/>
          <w:iCs/>
          <w:sz w:val="22"/>
          <w:szCs w:val="22"/>
        </w:rPr>
        <w:t> :</w:t>
      </w:r>
      <w:r w:rsidR="007F234C" w:rsidRPr="00D61255">
        <w:rPr>
          <w:rFonts w:ascii="Garamond" w:hAnsi="Garamond"/>
          <w:i/>
          <w:iCs/>
          <w:sz w:val="22"/>
          <w:szCs w:val="22"/>
        </w:rPr>
        <w:t xml:space="preserve"> Bonnaterre Sébastien à </w:t>
      </w:r>
      <w:r w:rsidR="008D1B1C" w:rsidRPr="00D61255">
        <w:rPr>
          <w:rFonts w:ascii="Garamond" w:hAnsi="Garamond"/>
          <w:i/>
          <w:iCs/>
          <w:sz w:val="22"/>
          <w:szCs w:val="22"/>
        </w:rPr>
        <w:t xml:space="preserve">Rolland Alain </w:t>
      </w:r>
      <w:r w:rsidR="007F234C" w:rsidRPr="00D61255">
        <w:rPr>
          <w:rFonts w:ascii="Garamond" w:hAnsi="Garamond"/>
          <w:i/>
          <w:iCs/>
          <w:sz w:val="22"/>
          <w:szCs w:val="22"/>
        </w:rPr>
        <w:t xml:space="preserve">; </w:t>
      </w:r>
      <w:proofErr w:type="spellStart"/>
      <w:r w:rsidR="007F234C" w:rsidRPr="00D61255">
        <w:rPr>
          <w:rFonts w:ascii="Garamond" w:hAnsi="Garamond"/>
          <w:i/>
          <w:iCs/>
          <w:sz w:val="22"/>
          <w:szCs w:val="22"/>
        </w:rPr>
        <w:t>Weissbrod</w:t>
      </w:r>
      <w:proofErr w:type="spellEnd"/>
      <w:r w:rsidR="007F234C" w:rsidRPr="00D61255">
        <w:rPr>
          <w:rFonts w:ascii="Garamond" w:hAnsi="Garamond"/>
          <w:i/>
          <w:iCs/>
          <w:sz w:val="22"/>
          <w:szCs w:val="22"/>
        </w:rPr>
        <w:t xml:space="preserve"> Richard à Roussel Isabelle ; </w:t>
      </w:r>
      <w:proofErr w:type="spellStart"/>
      <w:r w:rsidR="007F234C" w:rsidRPr="00D61255">
        <w:rPr>
          <w:rFonts w:ascii="Garamond" w:hAnsi="Garamond"/>
          <w:i/>
          <w:iCs/>
          <w:sz w:val="22"/>
          <w:szCs w:val="22"/>
        </w:rPr>
        <w:t>Chicoutel</w:t>
      </w:r>
      <w:proofErr w:type="spellEnd"/>
      <w:r w:rsidR="007F234C" w:rsidRPr="00D61255">
        <w:rPr>
          <w:rFonts w:ascii="Garamond" w:hAnsi="Garamond"/>
          <w:i/>
          <w:iCs/>
          <w:sz w:val="22"/>
          <w:szCs w:val="22"/>
        </w:rPr>
        <w:t xml:space="preserve"> Guy </w:t>
      </w:r>
      <w:r w:rsidR="008D1B1C" w:rsidRPr="00D61255">
        <w:rPr>
          <w:rFonts w:ascii="Garamond" w:hAnsi="Garamond"/>
          <w:i/>
          <w:iCs/>
          <w:sz w:val="22"/>
          <w:szCs w:val="22"/>
        </w:rPr>
        <w:t xml:space="preserve">à </w:t>
      </w:r>
      <w:proofErr w:type="spellStart"/>
      <w:r w:rsidR="008D1B1C" w:rsidRPr="00D61255">
        <w:rPr>
          <w:rFonts w:ascii="Garamond" w:hAnsi="Garamond"/>
          <w:i/>
          <w:iCs/>
          <w:sz w:val="22"/>
          <w:szCs w:val="22"/>
        </w:rPr>
        <w:t>Defay</w:t>
      </w:r>
      <w:proofErr w:type="spellEnd"/>
      <w:r w:rsidR="008D1B1C" w:rsidRPr="00D61255">
        <w:rPr>
          <w:rFonts w:ascii="Garamond" w:hAnsi="Garamond"/>
          <w:i/>
          <w:iCs/>
          <w:sz w:val="22"/>
          <w:szCs w:val="22"/>
        </w:rPr>
        <w:t xml:space="preserve"> Martine ; Bouche Jean-Louis à Chausse Jacques</w:t>
      </w:r>
    </w:p>
    <w:p w14:paraId="24B64618" w14:textId="77777777" w:rsidR="000F1CBE" w:rsidRPr="00D61255" w:rsidRDefault="004B2F71" w:rsidP="008D1B1C">
      <w:pPr>
        <w:ind w:right="282"/>
        <w:jc w:val="mediumKashida"/>
        <w:rPr>
          <w:rFonts w:ascii="Garamond" w:hAnsi="Garamond"/>
          <w:i/>
          <w:iCs/>
          <w:sz w:val="22"/>
          <w:szCs w:val="22"/>
        </w:rPr>
      </w:pPr>
      <w:r w:rsidRPr="00D61255">
        <w:rPr>
          <w:rFonts w:ascii="Garamond" w:hAnsi="Garamond"/>
          <w:i/>
          <w:iCs/>
          <w:sz w:val="22"/>
          <w:szCs w:val="22"/>
        </w:rPr>
        <w:t>Secrétaire de séance : Isabelle Roussel</w:t>
      </w:r>
    </w:p>
    <w:p w14:paraId="7FABDB9C" w14:textId="77777777" w:rsidR="000F1CBE" w:rsidRPr="00D61255" w:rsidRDefault="000F1CBE">
      <w:pPr>
        <w:pStyle w:val="Standard"/>
        <w:rPr>
          <w:rFonts w:hint="eastAsia"/>
          <w:sz w:val="22"/>
          <w:szCs w:val="22"/>
        </w:rPr>
      </w:pPr>
    </w:p>
    <w:p w14:paraId="305FD3C9" w14:textId="77777777" w:rsidR="008D1B1C" w:rsidRPr="00D61255" w:rsidRDefault="008D1B1C" w:rsidP="008D1B1C">
      <w:pPr>
        <w:ind w:right="282"/>
        <w:jc w:val="mediumKashida"/>
        <w:rPr>
          <w:rFonts w:ascii="Garamond" w:hAnsi="Garamond"/>
          <w:b/>
          <w:bCs/>
          <w:sz w:val="22"/>
          <w:szCs w:val="22"/>
          <w:u w:val="single"/>
        </w:rPr>
      </w:pPr>
      <w:r w:rsidRPr="00D61255">
        <w:rPr>
          <w:rFonts w:ascii="Garamond" w:hAnsi="Garamond"/>
          <w:b/>
          <w:bCs/>
          <w:sz w:val="22"/>
          <w:szCs w:val="22"/>
          <w:u w:val="single"/>
        </w:rPr>
        <w:t xml:space="preserve">1. Approbation du procès-verbal du conseil du 27 octobre </w:t>
      </w:r>
    </w:p>
    <w:p w14:paraId="674C9A76" w14:textId="77777777" w:rsidR="008D1B1C" w:rsidRPr="00D61255" w:rsidRDefault="008D1B1C" w:rsidP="008D1B1C">
      <w:pPr>
        <w:ind w:right="282"/>
        <w:jc w:val="mediumKashida"/>
        <w:rPr>
          <w:rFonts w:ascii="Garamond" w:hAnsi="Garamond"/>
          <w:sz w:val="22"/>
          <w:szCs w:val="22"/>
        </w:rPr>
      </w:pPr>
      <w:r w:rsidRPr="00D61255">
        <w:rPr>
          <w:rFonts w:ascii="Garamond" w:hAnsi="Garamond"/>
          <w:sz w:val="22"/>
          <w:szCs w:val="22"/>
        </w:rPr>
        <w:t>Ce procès-verbal est adopté à l’unanimité.</w:t>
      </w:r>
    </w:p>
    <w:p w14:paraId="00CE95E9" w14:textId="77777777" w:rsidR="008D1B1C" w:rsidRPr="00D61255" w:rsidRDefault="008D1B1C" w:rsidP="008D1B1C">
      <w:pPr>
        <w:ind w:left="7088" w:right="282"/>
        <w:jc w:val="mediumKashida"/>
        <w:rPr>
          <w:rFonts w:ascii="Garamond" w:hAnsi="Garamond"/>
          <w:b/>
          <w:bCs/>
          <w:sz w:val="22"/>
          <w:szCs w:val="22"/>
          <w:u w:val="single"/>
        </w:rPr>
      </w:pPr>
    </w:p>
    <w:p w14:paraId="1059B47C" w14:textId="3EB697E4" w:rsidR="008D1B1C" w:rsidRPr="00D61255" w:rsidRDefault="008D1B1C" w:rsidP="008D1B1C">
      <w:pPr>
        <w:ind w:right="282"/>
        <w:jc w:val="mediumKashida"/>
        <w:rPr>
          <w:rFonts w:ascii="Garamond" w:hAnsi="Garamond"/>
          <w:b/>
          <w:bCs/>
          <w:sz w:val="22"/>
          <w:szCs w:val="22"/>
          <w:u w:val="single"/>
        </w:rPr>
      </w:pPr>
      <w:r w:rsidRPr="00D61255">
        <w:rPr>
          <w:rFonts w:ascii="Garamond" w:hAnsi="Garamond"/>
          <w:b/>
          <w:bCs/>
          <w:sz w:val="22"/>
          <w:szCs w:val="22"/>
          <w:u w:val="single"/>
        </w:rPr>
        <w:t>2. Délibérations</w:t>
      </w:r>
    </w:p>
    <w:p w14:paraId="5C6DAC4C" w14:textId="3ABEB8E6" w:rsidR="008D1B1C" w:rsidRPr="00D61255" w:rsidRDefault="008D1B1C" w:rsidP="001F6BE2">
      <w:pPr>
        <w:ind w:right="282"/>
        <w:jc w:val="mediumKashida"/>
        <w:rPr>
          <w:rFonts w:ascii="Garamond" w:hAnsi="Garamond"/>
          <w:b/>
          <w:bCs/>
          <w:sz w:val="22"/>
          <w:szCs w:val="22"/>
          <w:u w:val="single"/>
        </w:rPr>
      </w:pPr>
      <w:r w:rsidRPr="00D61255">
        <w:rPr>
          <w:rFonts w:ascii="Garamond" w:hAnsi="Garamond"/>
          <w:b/>
          <w:bCs/>
          <w:sz w:val="22"/>
          <w:szCs w:val="22"/>
          <w:u w:val="single"/>
        </w:rPr>
        <w:t>2.1 Délibération concernant la demande de subvention DETR</w:t>
      </w:r>
    </w:p>
    <w:p w14:paraId="24100FF5" w14:textId="6C12FDB2" w:rsidR="006D2907" w:rsidRPr="00D61255" w:rsidRDefault="007F234C" w:rsidP="001F6BE2">
      <w:pPr>
        <w:pStyle w:val="Standard"/>
        <w:jc w:val="mediumKashida"/>
        <w:rPr>
          <w:rFonts w:ascii="Garamond" w:hAnsi="Garamond"/>
          <w:sz w:val="22"/>
          <w:szCs w:val="22"/>
        </w:rPr>
      </w:pPr>
      <w:r w:rsidRPr="00D61255">
        <w:rPr>
          <w:rFonts w:ascii="Garamond" w:hAnsi="Garamond"/>
          <w:sz w:val="22"/>
          <w:szCs w:val="22"/>
        </w:rPr>
        <w:t>Madame le maire expose au conseil que</w:t>
      </w:r>
      <w:r w:rsidR="009A0400" w:rsidRPr="00D61255">
        <w:rPr>
          <w:rFonts w:ascii="Garamond" w:hAnsi="Garamond"/>
          <w:sz w:val="22"/>
          <w:szCs w:val="22"/>
        </w:rPr>
        <w:t>,</w:t>
      </w:r>
      <w:r w:rsidRPr="00D61255">
        <w:rPr>
          <w:rFonts w:ascii="Garamond" w:hAnsi="Garamond"/>
          <w:sz w:val="22"/>
          <w:szCs w:val="22"/>
        </w:rPr>
        <w:t xml:space="preserve"> comme cela avait été convenu, le bureau d’études AB2R a réalisé l’étude d’aménagement de la partie </w:t>
      </w:r>
      <w:r w:rsidR="009A0400" w:rsidRPr="00D61255">
        <w:rPr>
          <w:rFonts w:ascii="Garamond" w:hAnsi="Garamond"/>
          <w:sz w:val="22"/>
          <w:szCs w:val="22"/>
        </w:rPr>
        <w:t>s</w:t>
      </w:r>
      <w:r w:rsidRPr="00D61255">
        <w:rPr>
          <w:rFonts w:ascii="Garamond" w:hAnsi="Garamond"/>
          <w:sz w:val="22"/>
          <w:szCs w:val="22"/>
        </w:rPr>
        <w:t xml:space="preserve">ud de la rue du </w:t>
      </w:r>
      <w:proofErr w:type="spellStart"/>
      <w:r w:rsidRPr="00D61255">
        <w:rPr>
          <w:rFonts w:ascii="Garamond" w:hAnsi="Garamond"/>
          <w:sz w:val="22"/>
          <w:szCs w:val="22"/>
        </w:rPr>
        <w:t>Chapial</w:t>
      </w:r>
      <w:proofErr w:type="spellEnd"/>
      <w:r w:rsidRPr="00D61255">
        <w:rPr>
          <w:rFonts w:ascii="Garamond" w:hAnsi="Garamond"/>
          <w:sz w:val="22"/>
          <w:szCs w:val="22"/>
        </w:rPr>
        <w:t xml:space="preserve">. Le projet prévoit de continuer l’aménagement de la rue </w:t>
      </w:r>
      <w:r w:rsidR="006D2907" w:rsidRPr="00D61255">
        <w:rPr>
          <w:rFonts w:ascii="Garamond" w:hAnsi="Garamond"/>
          <w:sz w:val="22"/>
          <w:szCs w:val="22"/>
        </w:rPr>
        <w:t>selon la</w:t>
      </w:r>
      <w:r w:rsidRPr="00D61255">
        <w:rPr>
          <w:rFonts w:ascii="Garamond" w:hAnsi="Garamond"/>
          <w:sz w:val="22"/>
          <w:szCs w:val="22"/>
        </w:rPr>
        <w:t xml:space="preserve"> même </w:t>
      </w:r>
      <w:r w:rsidR="006D2907" w:rsidRPr="00D61255">
        <w:rPr>
          <w:rFonts w:ascii="Garamond" w:hAnsi="Garamond"/>
          <w:sz w:val="22"/>
          <w:szCs w:val="22"/>
        </w:rPr>
        <w:t>trame</w:t>
      </w:r>
      <w:r w:rsidRPr="00D61255">
        <w:rPr>
          <w:rFonts w:ascii="Garamond" w:hAnsi="Garamond"/>
          <w:sz w:val="22"/>
          <w:szCs w:val="22"/>
        </w:rPr>
        <w:t xml:space="preserve"> esthétique que la partie centrale</w:t>
      </w:r>
      <w:r w:rsidR="006D2907" w:rsidRPr="00D61255">
        <w:rPr>
          <w:rFonts w:ascii="Garamond" w:hAnsi="Garamond"/>
          <w:sz w:val="22"/>
          <w:szCs w:val="22"/>
        </w:rPr>
        <w:t xml:space="preserve"> et de faire la réfection du mur bordant la rue à son extrémité en pierres sèches. </w:t>
      </w:r>
    </w:p>
    <w:p w14:paraId="3102FE9A" w14:textId="222DD8FF" w:rsidR="006D2907" w:rsidRPr="00D61255" w:rsidRDefault="006D2907" w:rsidP="001F6BE2">
      <w:pPr>
        <w:pStyle w:val="Standard"/>
        <w:jc w:val="mediumKashida"/>
        <w:rPr>
          <w:rFonts w:ascii="Garamond" w:hAnsi="Garamond"/>
          <w:sz w:val="22"/>
          <w:szCs w:val="22"/>
        </w:rPr>
      </w:pPr>
      <w:r w:rsidRPr="00D61255">
        <w:rPr>
          <w:rFonts w:ascii="Garamond" w:hAnsi="Garamond"/>
          <w:sz w:val="22"/>
          <w:szCs w:val="22"/>
        </w:rPr>
        <w:t xml:space="preserve">Le coût du projet envisagé est élevé. Il s’élève à 167.942,55 € HT, incluant les honoraires de maîtrise d’œuvre pour un montant de 14.603,70 € HT. Mais s’agissant d’un projet d’aménagement de bourg, le taux de financement de la DETR peut aller jusqu’à 60%, à quoi peut s’ajouter </w:t>
      </w:r>
      <w:r w:rsidR="00FD4E0B" w:rsidRPr="00D61255">
        <w:rPr>
          <w:rFonts w:ascii="Garamond" w:hAnsi="Garamond"/>
          <w:sz w:val="22"/>
          <w:szCs w:val="22"/>
        </w:rPr>
        <w:t xml:space="preserve">un financement LEADER et si nécessaire, les amendes de police </w:t>
      </w:r>
      <w:r w:rsidR="000A7418" w:rsidRPr="00D61255">
        <w:rPr>
          <w:rFonts w:ascii="Garamond" w:hAnsi="Garamond"/>
          <w:sz w:val="22"/>
          <w:szCs w:val="22"/>
        </w:rPr>
        <w:t>ou encore des financements de la Région.</w:t>
      </w:r>
      <w:r w:rsidR="00BA65C0" w:rsidRPr="00D61255">
        <w:rPr>
          <w:rFonts w:ascii="Garamond" w:hAnsi="Garamond"/>
          <w:sz w:val="22"/>
          <w:szCs w:val="22"/>
        </w:rPr>
        <w:t xml:space="preserve"> </w:t>
      </w:r>
    </w:p>
    <w:p w14:paraId="50CBA6B9" w14:textId="654BFBD7" w:rsidR="000A7418" w:rsidRPr="00D61255" w:rsidRDefault="000A7418" w:rsidP="001F6BE2">
      <w:pPr>
        <w:pStyle w:val="Standard"/>
        <w:jc w:val="mediumKashida"/>
        <w:rPr>
          <w:rFonts w:ascii="Garamond" w:hAnsi="Garamond"/>
          <w:sz w:val="22"/>
          <w:szCs w:val="22"/>
        </w:rPr>
      </w:pPr>
      <w:r w:rsidRPr="00D61255">
        <w:rPr>
          <w:rFonts w:ascii="Garamond" w:hAnsi="Garamond"/>
          <w:sz w:val="22"/>
          <w:szCs w:val="22"/>
        </w:rPr>
        <w:t xml:space="preserve">Il serait possible de diminuer </w:t>
      </w:r>
      <w:r w:rsidR="00747A79" w:rsidRPr="00D61255">
        <w:rPr>
          <w:rFonts w:ascii="Garamond" w:hAnsi="Garamond"/>
          <w:sz w:val="22"/>
          <w:szCs w:val="22"/>
        </w:rPr>
        <w:t xml:space="preserve">de façon importante </w:t>
      </w:r>
      <w:r w:rsidRPr="00D61255">
        <w:rPr>
          <w:rFonts w:ascii="Garamond" w:hAnsi="Garamond"/>
          <w:sz w:val="22"/>
          <w:szCs w:val="22"/>
        </w:rPr>
        <w:t xml:space="preserve">le coût de ce projet en ne réparant que la partie de la route à l’extrémité sud et en remplaçant le mur en pierres sèches par un mur en pierres maçonné. </w:t>
      </w:r>
      <w:r w:rsidR="00974F06" w:rsidRPr="00D61255">
        <w:rPr>
          <w:rFonts w:ascii="Garamond" w:hAnsi="Garamond"/>
          <w:sz w:val="22"/>
          <w:szCs w:val="22"/>
        </w:rPr>
        <w:t xml:space="preserve">Ceci aurait pour mérite d’élargir un peu la chaussée et de la sécuriser. </w:t>
      </w:r>
      <w:r w:rsidRPr="00D61255">
        <w:rPr>
          <w:rFonts w:ascii="Garamond" w:hAnsi="Garamond"/>
          <w:sz w:val="22"/>
          <w:szCs w:val="22"/>
        </w:rPr>
        <w:t>Mais cette option</w:t>
      </w:r>
      <w:r w:rsidR="00974F06" w:rsidRPr="00D61255">
        <w:rPr>
          <w:rFonts w:ascii="Garamond" w:hAnsi="Garamond"/>
          <w:sz w:val="22"/>
          <w:szCs w:val="22"/>
        </w:rPr>
        <w:t>, s’agissant d’aménagements de voirie,</w:t>
      </w:r>
      <w:r w:rsidRPr="00D61255">
        <w:rPr>
          <w:rFonts w:ascii="Garamond" w:hAnsi="Garamond"/>
          <w:sz w:val="22"/>
          <w:szCs w:val="22"/>
        </w:rPr>
        <w:t xml:space="preserve"> aurait une incidence sur les subventions (le taux maximum de la DETR serait </w:t>
      </w:r>
      <w:r w:rsidR="009A0400" w:rsidRPr="00D61255">
        <w:rPr>
          <w:rFonts w:ascii="Garamond" w:hAnsi="Garamond"/>
          <w:sz w:val="22"/>
          <w:szCs w:val="22"/>
        </w:rPr>
        <w:t xml:space="preserve">alors </w:t>
      </w:r>
      <w:r w:rsidRPr="00D61255">
        <w:rPr>
          <w:rFonts w:ascii="Garamond" w:hAnsi="Garamond"/>
          <w:sz w:val="22"/>
          <w:szCs w:val="22"/>
        </w:rPr>
        <w:t xml:space="preserve">de 40 %, il n’y aurait pas de possibilité de subvention au titre du FEADER ou de la Région). Selon les simulations faites, la participation de la commune dans cette deuxième option </w:t>
      </w:r>
      <w:r w:rsidR="00747A79" w:rsidRPr="00D61255">
        <w:rPr>
          <w:rFonts w:ascii="Garamond" w:hAnsi="Garamond"/>
          <w:sz w:val="22"/>
          <w:szCs w:val="22"/>
        </w:rPr>
        <w:t xml:space="preserve">serait presque aussi élevée que dans la première </w:t>
      </w:r>
      <w:r w:rsidR="00974F06" w:rsidRPr="00D61255">
        <w:rPr>
          <w:rFonts w:ascii="Garamond" w:hAnsi="Garamond"/>
          <w:sz w:val="22"/>
          <w:szCs w:val="22"/>
        </w:rPr>
        <w:t xml:space="preserve">option </w:t>
      </w:r>
      <w:r w:rsidR="00747A79" w:rsidRPr="00D61255">
        <w:rPr>
          <w:rFonts w:ascii="Garamond" w:hAnsi="Garamond"/>
          <w:sz w:val="22"/>
          <w:szCs w:val="22"/>
        </w:rPr>
        <w:t>si on atteint 80 %</w:t>
      </w:r>
      <w:r w:rsidR="00974F06" w:rsidRPr="00D61255">
        <w:rPr>
          <w:rFonts w:ascii="Garamond" w:hAnsi="Garamond"/>
          <w:sz w:val="22"/>
          <w:szCs w:val="22"/>
        </w:rPr>
        <w:t>.</w:t>
      </w:r>
      <w:r w:rsidR="00747A79" w:rsidRPr="00D61255">
        <w:rPr>
          <w:rFonts w:ascii="Garamond" w:hAnsi="Garamond"/>
          <w:sz w:val="22"/>
          <w:szCs w:val="22"/>
        </w:rPr>
        <w:t xml:space="preserve"> </w:t>
      </w:r>
    </w:p>
    <w:p w14:paraId="467A2CF2" w14:textId="76FB226F" w:rsidR="00BA65C0" w:rsidRPr="00D61255" w:rsidRDefault="009A0400" w:rsidP="001F6BE2">
      <w:pPr>
        <w:pStyle w:val="Standard"/>
        <w:jc w:val="mediumKashida"/>
        <w:rPr>
          <w:rFonts w:ascii="Garamond" w:hAnsi="Garamond"/>
          <w:sz w:val="22"/>
          <w:szCs w:val="22"/>
        </w:rPr>
      </w:pPr>
      <w:r w:rsidRPr="00D61255">
        <w:rPr>
          <w:rFonts w:ascii="Garamond" w:hAnsi="Garamond"/>
          <w:sz w:val="22"/>
          <w:szCs w:val="22"/>
        </w:rPr>
        <w:t xml:space="preserve">Par ailleurs, </w:t>
      </w:r>
      <w:r w:rsidR="003844A9">
        <w:rPr>
          <w:rFonts w:ascii="Garamond" w:hAnsi="Garamond"/>
          <w:sz w:val="22"/>
          <w:szCs w:val="22"/>
        </w:rPr>
        <w:t>L</w:t>
      </w:r>
      <w:r w:rsidR="00974F06" w:rsidRPr="00D61255">
        <w:rPr>
          <w:rFonts w:ascii="Garamond" w:hAnsi="Garamond"/>
          <w:sz w:val="22"/>
          <w:szCs w:val="22"/>
        </w:rPr>
        <w:t xml:space="preserve">a commune n’a pas d’autre projet à présenter à la DETR, la réalisation de la plate-forme de pompage de </w:t>
      </w:r>
      <w:proofErr w:type="spellStart"/>
      <w:r w:rsidR="00974F06" w:rsidRPr="00D61255">
        <w:rPr>
          <w:rFonts w:ascii="Garamond" w:hAnsi="Garamond"/>
          <w:sz w:val="22"/>
          <w:szCs w:val="22"/>
        </w:rPr>
        <w:t>Chantel</w:t>
      </w:r>
      <w:proofErr w:type="spellEnd"/>
      <w:r w:rsidR="00974F06" w:rsidRPr="00D61255">
        <w:rPr>
          <w:rFonts w:ascii="Garamond" w:hAnsi="Garamond"/>
          <w:sz w:val="22"/>
          <w:szCs w:val="22"/>
        </w:rPr>
        <w:t xml:space="preserve"> n’étant pas éligible.</w:t>
      </w:r>
    </w:p>
    <w:p w14:paraId="3BA58110" w14:textId="60DA0E3E" w:rsidR="000F1CBE" w:rsidRPr="00D61255" w:rsidRDefault="008D1B1C" w:rsidP="001F6BE2">
      <w:pPr>
        <w:pStyle w:val="Standard"/>
        <w:jc w:val="mediumKashida"/>
        <w:rPr>
          <w:rFonts w:ascii="Garamond" w:hAnsi="Garamond"/>
          <w:sz w:val="22"/>
          <w:szCs w:val="22"/>
        </w:rPr>
      </w:pPr>
      <w:r w:rsidRPr="005D1862">
        <w:rPr>
          <w:rFonts w:ascii="Garamond" w:hAnsi="Garamond"/>
          <w:sz w:val="22"/>
          <w:szCs w:val="22"/>
        </w:rPr>
        <w:t xml:space="preserve">Décision du </w:t>
      </w:r>
      <w:r w:rsidRPr="005D1862">
        <w:rPr>
          <w:rFonts w:ascii="Garamond" w:hAnsi="Garamond"/>
          <w:b/>
          <w:bCs/>
          <w:sz w:val="22"/>
          <w:szCs w:val="22"/>
        </w:rPr>
        <w:t xml:space="preserve">CM : après en avoir délibéré, le conseil </w:t>
      </w:r>
      <w:r w:rsidR="00BA65C0" w:rsidRPr="005D1862">
        <w:rPr>
          <w:rFonts w:ascii="Garamond" w:hAnsi="Garamond"/>
          <w:b/>
          <w:bCs/>
          <w:sz w:val="22"/>
          <w:szCs w:val="22"/>
        </w:rPr>
        <w:t>décide à l’unanimité de soumettre à la DETR le</w:t>
      </w:r>
      <w:r w:rsidR="00BA65C0" w:rsidRPr="00D61255">
        <w:rPr>
          <w:rFonts w:ascii="Garamond" w:hAnsi="Garamond"/>
          <w:sz w:val="22"/>
          <w:szCs w:val="22"/>
        </w:rPr>
        <w:t xml:space="preserve"> projet d’aménagement du bourg tel que présenté par AB2R et de rechercher toutes les subventions possibles pour permettre la réalisation de ce projet.</w:t>
      </w:r>
    </w:p>
    <w:p w14:paraId="57550C77" w14:textId="77777777" w:rsidR="000F1CBE" w:rsidRPr="00D61255" w:rsidRDefault="000F1CBE">
      <w:pPr>
        <w:pStyle w:val="Standard"/>
        <w:rPr>
          <w:rFonts w:hint="eastAsia"/>
          <w:b/>
          <w:bCs/>
          <w:sz w:val="22"/>
          <w:szCs w:val="22"/>
        </w:rPr>
      </w:pPr>
    </w:p>
    <w:p w14:paraId="327A9724" w14:textId="6C599287" w:rsidR="000F1CBE" w:rsidRPr="00D61255" w:rsidRDefault="004B2F71">
      <w:pPr>
        <w:pStyle w:val="Standard"/>
        <w:rPr>
          <w:rFonts w:ascii="Garamond" w:hAnsi="Garamond"/>
          <w:b/>
          <w:bCs/>
          <w:sz w:val="22"/>
          <w:szCs w:val="22"/>
          <w:u w:val="single"/>
        </w:rPr>
      </w:pPr>
      <w:r w:rsidRPr="00D61255">
        <w:rPr>
          <w:rFonts w:ascii="Garamond" w:hAnsi="Garamond"/>
          <w:b/>
          <w:bCs/>
          <w:sz w:val="22"/>
          <w:szCs w:val="22"/>
          <w:u w:val="single"/>
        </w:rPr>
        <w:t>2</w:t>
      </w:r>
      <w:r w:rsidR="00BA65C0" w:rsidRPr="00D61255">
        <w:rPr>
          <w:rFonts w:ascii="Garamond" w:hAnsi="Garamond"/>
          <w:b/>
          <w:bCs/>
          <w:sz w:val="22"/>
          <w:szCs w:val="22"/>
          <w:u w:val="single"/>
        </w:rPr>
        <w:t xml:space="preserve">.2 </w:t>
      </w:r>
      <w:r w:rsidRPr="00D61255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BA65C0" w:rsidRPr="00D61255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Pr="00D61255">
        <w:rPr>
          <w:rFonts w:ascii="Garamond" w:hAnsi="Garamond"/>
          <w:b/>
          <w:bCs/>
          <w:sz w:val="22"/>
          <w:szCs w:val="22"/>
          <w:u w:val="single"/>
        </w:rPr>
        <w:t>Délibération pour nommer un agent recenseur et décider d</w:t>
      </w:r>
      <w:r w:rsidR="00BA65C0" w:rsidRPr="00D61255">
        <w:rPr>
          <w:rFonts w:ascii="Garamond" w:hAnsi="Garamond"/>
          <w:b/>
          <w:bCs/>
          <w:sz w:val="22"/>
          <w:szCs w:val="22"/>
          <w:u w:val="single"/>
        </w:rPr>
        <w:t>e sa rémunération</w:t>
      </w:r>
      <w:r w:rsidRPr="00D61255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</w:p>
    <w:p w14:paraId="24050C35" w14:textId="47261C01" w:rsidR="000F1CBE" w:rsidRPr="00D61255" w:rsidRDefault="004B2F71" w:rsidP="008F51B5">
      <w:pPr>
        <w:pStyle w:val="Standard"/>
        <w:jc w:val="mediumKashida"/>
        <w:rPr>
          <w:rFonts w:ascii="Garamond" w:hAnsi="Garamond"/>
          <w:sz w:val="22"/>
          <w:szCs w:val="22"/>
        </w:rPr>
      </w:pPr>
      <w:r w:rsidRPr="00D61255">
        <w:rPr>
          <w:rFonts w:ascii="Garamond" w:hAnsi="Garamond"/>
          <w:sz w:val="22"/>
          <w:szCs w:val="22"/>
        </w:rPr>
        <w:t xml:space="preserve">Guy </w:t>
      </w:r>
      <w:proofErr w:type="spellStart"/>
      <w:r w:rsidRPr="00D61255">
        <w:rPr>
          <w:rFonts w:ascii="Garamond" w:hAnsi="Garamond"/>
          <w:sz w:val="22"/>
          <w:szCs w:val="22"/>
        </w:rPr>
        <w:t>Chicoutel</w:t>
      </w:r>
      <w:proofErr w:type="spellEnd"/>
      <w:r w:rsidRPr="00D61255">
        <w:rPr>
          <w:rFonts w:ascii="Garamond" w:hAnsi="Garamond"/>
          <w:sz w:val="22"/>
          <w:szCs w:val="22"/>
        </w:rPr>
        <w:t>, absent, étant intéressé à l</w:t>
      </w:r>
      <w:r w:rsidR="00BA65C0" w:rsidRPr="00D61255">
        <w:rPr>
          <w:rFonts w:ascii="Garamond" w:hAnsi="Garamond"/>
          <w:sz w:val="22"/>
          <w:szCs w:val="22"/>
        </w:rPr>
        <w:t>’</w:t>
      </w:r>
      <w:r w:rsidRPr="00D61255">
        <w:rPr>
          <w:rFonts w:ascii="Garamond" w:hAnsi="Garamond"/>
          <w:sz w:val="22"/>
          <w:szCs w:val="22"/>
        </w:rPr>
        <w:t>affaire ne prendra pas part au vote</w:t>
      </w:r>
      <w:r w:rsidR="00E04DA8" w:rsidRPr="00D61255">
        <w:rPr>
          <w:rFonts w:ascii="Garamond" w:hAnsi="Garamond"/>
          <w:sz w:val="22"/>
          <w:szCs w:val="22"/>
        </w:rPr>
        <w:t>,</w:t>
      </w:r>
      <w:r w:rsidRPr="00D61255">
        <w:rPr>
          <w:rFonts w:ascii="Garamond" w:hAnsi="Garamond"/>
          <w:sz w:val="22"/>
          <w:szCs w:val="22"/>
        </w:rPr>
        <w:t xml:space="preserve"> bien qu’il ait envoyé un pouvoir</w:t>
      </w:r>
    </w:p>
    <w:p w14:paraId="7AF7B364" w14:textId="3F33DFC4" w:rsidR="000F1CBE" w:rsidRPr="00D61255" w:rsidRDefault="004B2F71" w:rsidP="008F51B5">
      <w:pPr>
        <w:pStyle w:val="Standard"/>
        <w:jc w:val="mediumKashida"/>
        <w:rPr>
          <w:rFonts w:ascii="Garamond" w:hAnsi="Garamond"/>
          <w:sz w:val="22"/>
          <w:szCs w:val="22"/>
        </w:rPr>
      </w:pPr>
      <w:r w:rsidRPr="00D61255">
        <w:rPr>
          <w:rFonts w:ascii="Garamond" w:hAnsi="Garamond"/>
          <w:sz w:val="22"/>
          <w:szCs w:val="22"/>
        </w:rPr>
        <w:t>Madame le maire rappelle qu’un recensement doit avoir lieu sur la commune du 18 janvier 2024 au 17 février 2024.</w:t>
      </w:r>
      <w:r w:rsidR="00E04DA8" w:rsidRPr="00D61255">
        <w:rPr>
          <w:rFonts w:ascii="Garamond" w:hAnsi="Garamond"/>
          <w:sz w:val="22"/>
          <w:szCs w:val="22"/>
        </w:rPr>
        <w:t xml:space="preserve"> </w:t>
      </w:r>
      <w:r w:rsidRPr="00D61255">
        <w:rPr>
          <w:rFonts w:ascii="Garamond" w:hAnsi="Garamond"/>
          <w:sz w:val="22"/>
          <w:szCs w:val="22"/>
        </w:rPr>
        <w:t xml:space="preserve">Une annonce </w:t>
      </w:r>
      <w:r w:rsidR="00E04DA8" w:rsidRPr="00D61255">
        <w:rPr>
          <w:rFonts w:ascii="Garamond" w:hAnsi="Garamond"/>
          <w:sz w:val="22"/>
          <w:szCs w:val="22"/>
        </w:rPr>
        <w:t xml:space="preserve">en vue de susciter des candidatures au poste d’agent recenseur </w:t>
      </w:r>
      <w:r w:rsidRPr="00D61255">
        <w:rPr>
          <w:rFonts w:ascii="Garamond" w:hAnsi="Garamond"/>
          <w:sz w:val="22"/>
          <w:szCs w:val="22"/>
        </w:rPr>
        <w:t>a été publiée sur le bulletin municipal.</w:t>
      </w:r>
      <w:r w:rsidR="00E04DA8" w:rsidRPr="00D61255">
        <w:rPr>
          <w:rFonts w:ascii="Garamond" w:hAnsi="Garamond"/>
          <w:sz w:val="22"/>
          <w:szCs w:val="22"/>
        </w:rPr>
        <w:t xml:space="preserve"> La commune a reçu la candidature de 2 habitantes, possédant toutes deux les compétences requises pour occuper ce poste. Après échanges, il apparaît néanmoins que la candidature d’Éva </w:t>
      </w:r>
      <w:proofErr w:type="spellStart"/>
      <w:r w:rsidR="00E04DA8" w:rsidRPr="00D61255">
        <w:rPr>
          <w:rFonts w:ascii="Garamond" w:hAnsi="Garamond"/>
          <w:sz w:val="22"/>
          <w:szCs w:val="22"/>
        </w:rPr>
        <w:t>Chicoutel</w:t>
      </w:r>
      <w:proofErr w:type="spellEnd"/>
      <w:r w:rsidR="00E04DA8" w:rsidRPr="00D61255">
        <w:rPr>
          <w:rFonts w:ascii="Garamond" w:hAnsi="Garamond"/>
          <w:sz w:val="22"/>
          <w:szCs w:val="22"/>
        </w:rPr>
        <w:t xml:space="preserve"> correspond mieux au profil requis. </w:t>
      </w:r>
    </w:p>
    <w:p w14:paraId="09822E3B" w14:textId="2B23D684" w:rsidR="000F1CBE" w:rsidRPr="00D61255" w:rsidRDefault="00E04DA8" w:rsidP="008F51B5">
      <w:pPr>
        <w:pStyle w:val="Standard"/>
        <w:jc w:val="mediumKashida"/>
        <w:rPr>
          <w:rFonts w:ascii="Garamond" w:hAnsi="Garamond"/>
          <w:sz w:val="22"/>
          <w:szCs w:val="22"/>
        </w:rPr>
      </w:pPr>
      <w:r w:rsidRPr="00D61255">
        <w:rPr>
          <w:rFonts w:ascii="Garamond" w:hAnsi="Garamond"/>
          <w:sz w:val="22"/>
          <w:szCs w:val="22"/>
        </w:rPr>
        <w:t>Quant à la rémunération</w:t>
      </w:r>
      <w:r w:rsidR="00B53437" w:rsidRPr="00D61255">
        <w:rPr>
          <w:rFonts w:ascii="Garamond" w:hAnsi="Garamond"/>
          <w:sz w:val="22"/>
          <w:szCs w:val="22"/>
        </w:rPr>
        <w:t>, il est proposé au conseil d’adopter une rémunération forfaitaire de 500 € pour cette mission (qui comprend aussi la participation obligatoire à deux demi-journées de formation, et une tournée de reconnaissance entre les deux) et d’y ajouter une indemnité de frais de déplacement de 100 €. Il est à note</w:t>
      </w:r>
      <w:r w:rsidR="009A0400" w:rsidRPr="00D61255">
        <w:rPr>
          <w:rFonts w:ascii="Garamond" w:hAnsi="Garamond"/>
          <w:sz w:val="22"/>
          <w:szCs w:val="22"/>
        </w:rPr>
        <w:t>r</w:t>
      </w:r>
      <w:r w:rsidR="00B53437" w:rsidRPr="00D61255">
        <w:rPr>
          <w:rFonts w:ascii="Garamond" w:hAnsi="Garamond"/>
          <w:sz w:val="22"/>
          <w:szCs w:val="22"/>
        </w:rPr>
        <w:t xml:space="preserve"> que la rémunération est soumise aux cotisations du régime général de la sécurité sociale.</w:t>
      </w:r>
    </w:p>
    <w:p w14:paraId="1B7EBD6C" w14:textId="77777777" w:rsidR="00B53437" w:rsidRPr="008F51B5" w:rsidRDefault="00B53437" w:rsidP="008F51B5">
      <w:pPr>
        <w:pStyle w:val="Standard"/>
        <w:jc w:val="mediumKashida"/>
        <w:rPr>
          <w:rFonts w:ascii="Garamond" w:hAnsi="Garamond"/>
          <w:sz w:val="22"/>
          <w:szCs w:val="22"/>
        </w:rPr>
      </w:pPr>
    </w:p>
    <w:p w14:paraId="2CFC2CF5" w14:textId="058FC8E1" w:rsidR="000F1CBE" w:rsidRPr="008F51B5" w:rsidRDefault="00B53437" w:rsidP="008F51B5">
      <w:pPr>
        <w:pStyle w:val="Standard"/>
        <w:jc w:val="mediumKashida"/>
        <w:rPr>
          <w:rFonts w:ascii="Garamond" w:hAnsi="Garamond"/>
          <w:sz w:val="22"/>
          <w:szCs w:val="22"/>
        </w:rPr>
      </w:pPr>
      <w:r w:rsidRPr="005D1862">
        <w:rPr>
          <w:rFonts w:ascii="Garamond" w:hAnsi="Garamond"/>
          <w:b/>
          <w:bCs/>
          <w:sz w:val="22"/>
          <w:szCs w:val="22"/>
        </w:rPr>
        <w:t>Décision du CM</w:t>
      </w:r>
      <w:r w:rsidRPr="008F51B5">
        <w:rPr>
          <w:rFonts w:ascii="Garamond" w:hAnsi="Garamond"/>
          <w:sz w:val="22"/>
          <w:szCs w:val="22"/>
        </w:rPr>
        <w:t> :</w:t>
      </w:r>
      <w:r w:rsidRPr="00D61255">
        <w:rPr>
          <w:rFonts w:ascii="Garamond" w:hAnsi="Garamond"/>
          <w:sz w:val="22"/>
          <w:szCs w:val="22"/>
        </w:rPr>
        <w:t xml:space="preserve"> après en avoir délibéré, le conseil décide de recruter Éva </w:t>
      </w:r>
      <w:proofErr w:type="spellStart"/>
      <w:r w:rsidRPr="00D61255">
        <w:rPr>
          <w:rFonts w:ascii="Garamond" w:hAnsi="Garamond"/>
          <w:sz w:val="22"/>
          <w:szCs w:val="22"/>
        </w:rPr>
        <w:t>Chicoutel</w:t>
      </w:r>
      <w:proofErr w:type="spellEnd"/>
      <w:r w:rsidRPr="00D61255">
        <w:rPr>
          <w:rFonts w:ascii="Garamond" w:hAnsi="Garamond"/>
          <w:sz w:val="22"/>
          <w:szCs w:val="22"/>
        </w:rPr>
        <w:t xml:space="preserve"> en tant qu’agent recenseur et de lui </w:t>
      </w:r>
      <w:r w:rsidR="003E3F81" w:rsidRPr="00D61255">
        <w:rPr>
          <w:rFonts w:ascii="Garamond" w:hAnsi="Garamond"/>
          <w:sz w:val="22"/>
          <w:szCs w:val="22"/>
        </w:rPr>
        <w:t>a</w:t>
      </w:r>
      <w:r w:rsidRPr="00D61255">
        <w:rPr>
          <w:rFonts w:ascii="Garamond" w:hAnsi="Garamond"/>
          <w:sz w:val="22"/>
          <w:szCs w:val="22"/>
        </w:rPr>
        <w:t xml:space="preserve">ttribuer une rémunération forfaitaire de 500 </w:t>
      </w:r>
      <w:r w:rsidR="003E3F81" w:rsidRPr="00D61255">
        <w:rPr>
          <w:rFonts w:ascii="Garamond" w:hAnsi="Garamond"/>
          <w:sz w:val="22"/>
          <w:szCs w:val="22"/>
        </w:rPr>
        <w:t xml:space="preserve">€ ainsi que des frais de déplacement de 100 €. </w:t>
      </w:r>
      <w:r w:rsidR="004B2F71" w:rsidRPr="00D61255">
        <w:rPr>
          <w:rFonts w:ascii="Garamond" w:hAnsi="Garamond"/>
          <w:sz w:val="22"/>
          <w:szCs w:val="22"/>
        </w:rPr>
        <w:t>Ce</w:t>
      </w:r>
      <w:r w:rsidR="003E3F81" w:rsidRPr="00D61255">
        <w:rPr>
          <w:rFonts w:ascii="Garamond" w:hAnsi="Garamond"/>
          <w:sz w:val="22"/>
          <w:szCs w:val="22"/>
        </w:rPr>
        <w:t>s</w:t>
      </w:r>
      <w:r w:rsidR="004B2F71" w:rsidRPr="00D61255">
        <w:rPr>
          <w:rFonts w:ascii="Garamond" w:hAnsi="Garamond"/>
          <w:sz w:val="22"/>
          <w:szCs w:val="22"/>
        </w:rPr>
        <w:t xml:space="preserve"> montant ser</w:t>
      </w:r>
      <w:r w:rsidR="003E3F81" w:rsidRPr="00D61255">
        <w:rPr>
          <w:rFonts w:ascii="Garamond" w:hAnsi="Garamond"/>
          <w:sz w:val="22"/>
          <w:szCs w:val="22"/>
        </w:rPr>
        <w:t>ont</w:t>
      </w:r>
      <w:r w:rsidR="004B2F71" w:rsidRPr="00D61255">
        <w:rPr>
          <w:rFonts w:ascii="Garamond" w:hAnsi="Garamond"/>
          <w:sz w:val="22"/>
          <w:szCs w:val="22"/>
        </w:rPr>
        <w:t xml:space="preserve"> inscrit</w:t>
      </w:r>
      <w:r w:rsidR="003E3F81" w:rsidRPr="00D61255">
        <w:rPr>
          <w:rFonts w:ascii="Garamond" w:hAnsi="Garamond"/>
          <w:sz w:val="22"/>
          <w:szCs w:val="22"/>
        </w:rPr>
        <w:t>s</w:t>
      </w:r>
      <w:r w:rsidR="004B2F71" w:rsidRPr="00D61255">
        <w:rPr>
          <w:rFonts w:ascii="Garamond" w:hAnsi="Garamond"/>
          <w:sz w:val="22"/>
          <w:szCs w:val="22"/>
        </w:rPr>
        <w:t xml:space="preserve"> au budget communal</w:t>
      </w:r>
      <w:r w:rsidR="004B2F71" w:rsidRPr="008F51B5">
        <w:rPr>
          <w:rFonts w:ascii="Garamond" w:hAnsi="Garamond"/>
          <w:sz w:val="22"/>
          <w:szCs w:val="22"/>
        </w:rPr>
        <w:t>.</w:t>
      </w:r>
    </w:p>
    <w:p w14:paraId="3CA760F0" w14:textId="77777777" w:rsidR="003E3F81" w:rsidRPr="00D61255" w:rsidRDefault="003E3F81">
      <w:pPr>
        <w:pStyle w:val="Standard"/>
        <w:rPr>
          <w:rFonts w:hint="eastAsia"/>
          <w:sz w:val="22"/>
          <w:szCs w:val="22"/>
        </w:rPr>
      </w:pPr>
    </w:p>
    <w:p w14:paraId="25F229A6" w14:textId="5572EB17" w:rsidR="003E3F81" w:rsidRPr="00D61255" w:rsidRDefault="003E3F81" w:rsidP="003E3F81">
      <w:pPr>
        <w:pStyle w:val="Standard"/>
        <w:rPr>
          <w:rFonts w:ascii="Garamond" w:hAnsi="Garamond"/>
          <w:b/>
          <w:bCs/>
          <w:sz w:val="22"/>
          <w:szCs w:val="22"/>
          <w:u w:val="single"/>
        </w:rPr>
      </w:pPr>
      <w:r w:rsidRPr="00D61255">
        <w:rPr>
          <w:rFonts w:ascii="Garamond" w:hAnsi="Garamond"/>
          <w:b/>
          <w:bCs/>
          <w:sz w:val="22"/>
          <w:szCs w:val="22"/>
          <w:u w:val="single"/>
        </w:rPr>
        <w:t>2.3   Délibération pour extinction de créances</w:t>
      </w:r>
    </w:p>
    <w:p w14:paraId="156BA311" w14:textId="6B363C73" w:rsidR="00F30FC1" w:rsidRPr="00D61255" w:rsidRDefault="003E3F81" w:rsidP="001F6BE2">
      <w:pPr>
        <w:pStyle w:val="Standard"/>
        <w:jc w:val="mediumKashida"/>
        <w:rPr>
          <w:rFonts w:ascii="Garamond" w:hAnsi="Garamond"/>
          <w:sz w:val="22"/>
          <w:szCs w:val="22"/>
        </w:rPr>
      </w:pPr>
      <w:r w:rsidRPr="00D61255">
        <w:rPr>
          <w:rFonts w:ascii="Garamond" w:hAnsi="Garamond"/>
          <w:sz w:val="22"/>
          <w:szCs w:val="22"/>
        </w:rPr>
        <w:t>La première adjointe expose au conseil qu’</w:t>
      </w:r>
      <w:r w:rsidR="00F30FC1" w:rsidRPr="00D61255">
        <w:rPr>
          <w:rFonts w:ascii="Garamond" w:hAnsi="Garamond"/>
          <w:sz w:val="22"/>
          <w:szCs w:val="22"/>
        </w:rPr>
        <w:t xml:space="preserve">une délibération a déjà été prise pour cette extinction de créances lors du conseil précédent. Mais </w:t>
      </w:r>
      <w:r w:rsidR="00D61255">
        <w:rPr>
          <w:rFonts w:ascii="Garamond" w:hAnsi="Garamond"/>
          <w:sz w:val="22"/>
          <w:szCs w:val="22"/>
        </w:rPr>
        <w:t xml:space="preserve">la règle veut </w:t>
      </w:r>
      <w:r w:rsidR="00F30FC1" w:rsidRPr="00D61255">
        <w:rPr>
          <w:rFonts w:ascii="Garamond" w:hAnsi="Garamond"/>
          <w:sz w:val="22"/>
          <w:szCs w:val="22"/>
        </w:rPr>
        <w:t xml:space="preserve">qu’elle soit </w:t>
      </w:r>
      <w:r w:rsidRPr="00D61255">
        <w:rPr>
          <w:rFonts w:ascii="Garamond" w:hAnsi="Garamond"/>
          <w:sz w:val="22"/>
          <w:szCs w:val="22"/>
        </w:rPr>
        <w:t>nominative et détaillée</w:t>
      </w:r>
      <w:r w:rsidR="00D61255">
        <w:rPr>
          <w:rFonts w:ascii="Garamond" w:hAnsi="Garamond"/>
          <w:sz w:val="22"/>
          <w:szCs w:val="22"/>
        </w:rPr>
        <w:t>. Elle donne donc au conseil les informations concernant cette extinction de créances, comme suit :</w:t>
      </w:r>
    </w:p>
    <w:p w14:paraId="31A5F4AF" w14:textId="312FE4DC" w:rsidR="003E3F81" w:rsidRPr="00D61255" w:rsidRDefault="003E3F81" w:rsidP="001F6BE2">
      <w:pPr>
        <w:pStyle w:val="Standard"/>
        <w:jc w:val="mediumKashida"/>
        <w:rPr>
          <w:rFonts w:ascii="Garamond" w:hAnsi="Garamond"/>
          <w:sz w:val="22"/>
          <w:szCs w:val="22"/>
        </w:rPr>
      </w:pPr>
      <w:r w:rsidRPr="00D61255">
        <w:rPr>
          <w:rFonts w:ascii="Garamond" w:hAnsi="Garamond"/>
          <w:sz w:val="22"/>
          <w:szCs w:val="22"/>
        </w:rPr>
        <w:lastRenderedPageBreak/>
        <w:t xml:space="preserve">Madame Danielle </w:t>
      </w:r>
      <w:proofErr w:type="spellStart"/>
      <w:r w:rsidRPr="00D61255">
        <w:rPr>
          <w:rFonts w:ascii="Garamond" w:hAnsi="Garamond"/>
          <w:sz w:val="22"/>
          <w:szCs w:val="22"/>
        </w:rPr>
        <w:t>Rouanet</w:t>
      </w:r>
      <w:proofErr w:type="spellEnd"/>
      <w:r w:rsidRPr="00D61255">
        <w:rPr>
          <w:rFonts w:ascii="Garamond" w:hAnsi="Garamond"/>
          <w:sz w:val="22"/>
          <w:szCs w:val="22"/>
        </w:rPr>
        <w:t xml:space="preserve"> a fait l’objet d’une procédure de rétablissement personnel qui a conduit à l’effacement de toutes ses dettes. Il convient donc que le conseil admette l’extinction des créances suivantes, concernant toutes le budget assainissement :</w:t>
      </w:r>
    </w:p>
    <w:p w14:paraId="46A8B5FD" w14:textId="77777777" w:rsidR="003E3F81" w:rsidRPr="00D61255" w:rsidRDefault="003E3F81" w:rsidP="001F6BE2">
      <w:pPr>
        <w:pStyle w:val="Standard"/>
        <w:jc w:val="mediumKashida"/>
        <w:rPr>
          <w:rFonts w:ascii="Garamond" w:hAnsi="Garamond"/>
          <w:sz w:val="22"/>
          <w:szCs w:val="22"/>
        </w:rPr>
      </w:pPr>
      <w:r w:rsidRPr="00D61255">
        <w:rPr>
          <w:rFonts w:ascii="Garamond" w:hAnsi="Garamond" w:hint="eastAsia"/>
          <w:sz w:val="22"/>
          <w:szCs w:val="22"/>
        </w:rPr>
        <w:t>F</w:t>
      </w:r>
      <w:r w:rsidRPr="00D61255">
        <w:rPr>
          <w:rFonts w:ascii="Garamond" w:hAnsi="Garamond"/>
          <w:sz w:val="22"/>
          <w:szCs w:val="22"/>
        </w:rPr>
        <w:t>acture 7080023-190 du 30/05/18 pour un montant de 74,54 €</w:t>
      </w:r>
    </w:p>
    <w:p w14:paraId="515A91A3" w14:textId="77777777" w:rsidR="003E3F81" w:rsidRPr="00D61255" w:rsidRDefault="003E3F81" w:rsidP="001F6BE2">
      <w:pPr>
        <w:pStyle w:val="Standard"/>
        <w:jc w:val="mediumKashida"/>
        <w:rPr>
          <w:rFonts w:ascii="Garamond" w:hAnsi="Garamond"/>
          <w:sz w:val="22"/>
          <w:szCs w:val="22"/>
        </w:rPr>
      </w:pPr>
      <w:r w:rsidRPr="00D61255">
        <w:rPr>
          <w:rFonts w:ascii="Garamond" w:hAnsi="Garamond"/>
          <w:sz w:val="22"/>
          <w:szCs w:val="22"/>
        </w:rPr>
        <w:t>Facture 2-123 du 19/05/19 pour un montant de 77,44 €</w:t>
      </w:r>
    </w:p>
    <w:p w14:paraId="1A91F52E" w14:textId="77777777" w:rsidR="003E3F81" w:rsidRPr="00D61255" w:rsidRDefault="003E3F81" w:rsidP="001F6BE2">
      <w:pPr>
        <w:pStyle w:val="Standard"/>
        <w:jc w:val="mediumKashida"/>
        <w:rPr>
          <w:rFonts w:ascii="Garamond" w:hAnsi="Garamond"/>
          <w:sz w:val="22"/>
          <w:szCs w:val="22"/>
        </w:rPr>
      </w:pPr>
      <w:r w:rsidRPr="00D61255">
        <w:rPr>
          <w:rFonts w:ascii="Garamond" w:hAnsi="Garamond"/>
          <w:sz w:val="22"/>
          <w:szCs w:val="22"/>
        </w:rPr>
        <w:t>Facture 1-122 du 01/06/20 pour un montant de 72,16 €</w:t>
      </w:r>
    </w:p>
    <w:p w14:paraId="62B4A2EA" w14:textId="347934A3" w:rsidR="003E3F81" w:rsidRPr="00D61255" w:rsidRDefault="003E3F81" w:rsidP="001F6BE2">
      <w:pPr>
        <w:pStyle w:val="Standard"/>
        <w:jc w:val="mediumKashida"/>
        <w:rPr>
          <w:rFonts w:ascii="Garamond" w:hAnsi="Garamond"/>
          <w:sz w:val="22"/>
          <w:szCs w:val="22"/>
        </w:rPr>
      </w:pPr>
      <w:r w:rsidRPr="00D61255">
        <w:rPr>
          <w:rFonts w:ascii="Garamond" w:hAnsi="Garamond"/>
          <w:b/>
          <w:bCs/>
          <w:sz w:val="22"/>
          <w:szCs w:val="22"/>
        </w:rPr>
        <w:t>Décision du CM :</w:t>
      </w:r>
      <w:r w:rsidRPr="00D61255">
        <w:rPr>
          <w:b/>
          <w:bCs/>
          <w:sz w:val="22"/>
          <w:szCs w:val="22"/>
        </w:rPr>
        <w:t xml:space="preserve"> </w:t>
      </w:r>
      <w:r w:rsidRPr="00D61255">
        <w:rPr>
          <w:rFonts w:ascii="Garamond" w:hAnsi="Garamond"/>
          <w:sz w:val="22"/>
          <w:szCs w:val="22"/>
        </w:rPr>
        <w:t xml:space="preserve">après en avoir délibéré, le conseil municipal admet les pertes sur les créances éteintes de Madame Danielle </w:t>
      </w:r>
      <w:proofErr w:type="spellStart"/>
      <w:r w:rsidRPr="00D61255">
        <w:rPr>
          <w:rFonts w:ascii="Garamond" w:hAnsi="Garamond"/>
          <w:sz w:val="22"/>
          <w:szCs w:val="22"/>
        </w:rPr>
        <w:t>Rouanet</w:t>
      </w:r>
      <w:proofErr w:type="spellEnd"/>
      <w:r w:rsidRPr="00D61255">
        <w:rPr>
          <w:rFonts w:ascii="Garamond" w:hAnsi="Garamond"/>
          <w:sz w:val="22"/>
          <w:szCs w:val="22"/>
        </w:rPr>
        <w:t>, pour un montant total de 224,14 €, selon le détail ci-dessus.</w:t>
      </w:r>
    </w:p>
    <w:p w14:paraId="0727979A" w14:textId="14EFB0CF" w:rsidR="003E3F81" w:rsidRPr="00D61255" w:rsidRDefault="003E3F81" w:rsidP="00F30FC1">
      <w:pPr>
        <w:pStyle w:val="Standard"/>
        <w:jc w:val="both"/>
        <w:rPr>
          <w:rFonts w:ascii="Garamond" w:hAnsi="Garamond"/>
          <w:sz w:val="22"/>
          <w:szCs w:val="22"/>
        </w:rPr>
      </w:pPr>
    </w:p>
    <w:p w14:paraId="157BB5BE" w14:textId="77777777" w:rsidR="00F30FC1" w:rsidRPr="00D61255" w:rsidRDefault="00F30FC1" w:rsidP="00F30FC1">
      <w:pPr>
        <w:pStyle w:val="Standard"/>
        <w:rPr>
          <w:rFonts w:ascii="Garamond" w:hAnsi="Garamond"/>
          <w:b/>
          <w:bCs/>
          <w:sz w:val="22"/>
          <w:szCs w:val="22"/>
          <w:u w:val="single"/>
        </w:rPr>
      </w:pPr>
      <w:r w:rsidRPr="00D61255">
        <w:rPr>
          <w:rFonts w:ascii="Garamond" w:hAnsi="Garamond"/>
          <w:b/>
          <w:bCs/>
          <w:sz w:val="22"/>
          <w:szCs w:val="22"/>
          <w:u w:val="single"/>
        </w:rPr>
        <w:t>3. Divers</w:t>
      </w:r>
    </w:p>
    <w:p w14:paraId="45F805A0" w14:textId="77777777" w:rsidR="00F30FC1" w:rsidRPr="00D61255" w:rsidRDefault="00F30FC1" w:rsidP="00F30FC1">
      <w:pPr>
        <w:ind w:right="282"/>
        <w:jc w:val="mediumKashida"/>
        <w:rPr>
          <w:rFonts w:ascii="Garamond" w:hAnsi="Garamond"/>
          <w:b/>
          <w:bCs/>
          <w:sz w:val="22"/>
          <w:szCs w:val="22"/>
          <w:u w:val="single"/>
        </w:rPr>
      </w:pPr>
      <w:r w:rsidRPr="00D61255">
        <w:rPr>
          <w:rFonts w:ascii="Garamond" w:hAnsi="Garamond"/>
          <w:b/>
          <w:bCs/>
          <w:sz w:val="22"/>
          <w:szCs w:val="22"/>
          <w:u w:val="single"/>
        </w:rPr>
        <w:t>3.1 Appartement communal</w:t>
      </w:r>
    </w:p>
    <w:p w14:paraId="36E6B72B" w14:textId="2525E1E5" w:rsidR="00F30FC1" w:rsidRPr="00D61255" w:rsidRDefault="00F30FC1" w:rsidP="00D460DB">
      <w:pPr>
        <w:ind w:right="282"/>
        <w:jc w:val="mediumKashida"/>
        <w:rPr>
          <w:rFonts w:ascii="Garamond" w:hAnsi="Garamond"/>
          <w:sz w:val="22"/>
          <w:szCs w:val="22"/>
        </w:rPr>
      </w:pPr>
      <w:r w:rsidRPr="00D61255">
        <w:rPr>
          <w:rFonts w:ascii="Garamond" w:hAnsi="Garamond"/>
          <w:sz w:val="22"/>
          <w:szCs w:val="22"/>
        </w:rPr>
        <w:t xml:space="preserve">Plusieurs visites </w:t>
      </w:r>
      <w:r w:rsidR="00D460DB" w:rsidRPr="00D61255">
        <w:rPr>
          <w:rFonts w:ascii="Garamond" w:hAnsi="Garamond"/>
          <w:sz w:val="22"/>
          <w:szCs w:val="22"/>
        </w:rPr>
        <w:t xml:space="preserve">de cet appartement dont le loyer a été fixé à 350 € </w:t>
      </w:r>
      <w:r w:rsidRPr="00D61255">
        <w:rPr>
          <w:rFonts w:ascii="Garamond" w:hAnsi="Garamond"/>
          <w:sz w:val="22"/>
          <w:szCs w:val="22"/>
        </w:rPr>
        <w:t>sont prévues ce vendredi</w:t>
      </w:r>
      <w:r w:rsidR="00D460DB" w:rsidRPr="00D61255">
        <w:rPr>
          <w:rFonts w:ascii="Garamond" w:hAnsi="Garamond"/>
          <w:sz w:val="22"/>
          <w:szCs w:val="22"/>
        </w:rPr>
        <w:t xml:space="preserve">. </w:t>
      </w:r>
      <w:r w:rsidRPr="00D61255">
        <w:rPr>
          <w:rFonts w:ascii="Garamond" w:hAnsi="Garamond"/>
          <w:sz w:val="22"/>
          <w:szCs w:val="22"/>
        </w:rPr>
        <w:t xml:space="preserve"> </w:t>
      </w:r>
      <w:r w:rsidR="00D460DB" w:rsidRPr="00D61255">
        <w:rPr>
          <w:rFonts w:ascii="Garamond" w:hAnsi="Garamond"/>
          <w:sz w:val="22"/>
          <w:szCs w:val="22"/>
        </w:rPr>
        <w:t>Madame le maire ne manquera pas de les informer des possibilités de nuisances sonores dues à la guinguette.</w:t>
      </w:r>
    </w:p>
    <w:p w14:paraId="469A9904" w14:textId="77777777" w:rsidR="00F30FC1" w:rsidRPr="00D61255" w:rsidRDefault="00F30FC1" w:rsidP="00F30FC1">
      <w:pPr>
        <w:ind w:right="282"/>
        <w:jc w:val="mediumKashida"/>
        <w:rPr>
          <w:rFonts w:ascii="Garamond" w:hAnsi="Garamond"/>
          <w:sz w:val="22"/>
          <w:szCs w:val="22"/>
        </w:rPr>
      </w:pPr>
      <w:r w:rsidRPr="00D61255">
        <w:rPr>
          <w:rFonts w:ascii="Garamond" w:hAnsi="Garamond"/>
          <w:b/>
          <w:bCs/>
          <w:sz w:val="22"/>
          <w:szCs w:val="22"/>
          <w:u w:val="single"/>
        </w:rPr>
        <w:t>3.2 Incendie du centre équestre</w:t>
      </w:r>
    </w:p>
    <w:p w14:paraId="259AEB7C" w14:textId="6281ED3E" w:rsidR="00F30FC1" w:rsidRPr="00D61255" w:rsidRDefault="00D460DB" w:rsidP="00D460DB">
      <w:pPr>
        <w:ind w:right="282"/>
        <w:jc w:val="mediumKashida"/>
        <w:rPr>
          <w:rFonts w:ascii="Garamond" w:hAnsi="Garamond"/>
          <w:sz w:val="22"/>
          <w:szCs w:val="22"/>
        </w:rPr>
      </w:pPr>
      <w:r w:rsidRPr="00D61255">
        <w:rPr>
          <w:rFonts w:ascii="Garamond" w:hAnsi="Garamond"/>
          <w:sz w:val="22"/>
          <w:szCs w:val="22"/>
        </w:rPr>
        <w:t>Madame le maire informe le conseil qu’une c</w:t>
      </w:r>
      <w:r w:rsidR="00F30FC1" w:rsidRPr="00D61255">
        <w:rPr>
          <w:rFonts w:ascii="Garamond" w:hAnsi="Garamond"/>
          <w:sz w:val="22"/>
          <w:szCs w:val="22"/>
        </w:rPr>
        <w:t>agnotte en ligne</w:t>
      </w:r>
      <w:r w:rsidRPr="00D61255">
        <w:rPr>
          <w:rFonts w:ascii="Garamond" w:hAnsi="Garamond"/>
          <w:sz w:val="22"/>
          <w:szCs w:val="22"/>
        </w:rPr>
        <w:t xml:space="preserve"> a été lancée par des usagers du centre et qu’elle a déjà recueilli plusieurs milliers d’euros</w:t>
      </w:r>
      <w:r w:rsidR="00D61255">
        <w:rPr>
          <w:rFonts w:ascii="Garamond" w:hAnsi="Garamond"/>
          <w:sz w:val="22"/>
          <w:szCs w:val="22"/>
        </w:rPr>
        <w:t>. Si des conseillers veulent soutenir le centre à titre individuel, ils peuvent aller sur Leetchi.com, et rechercher</w:t>
      </w:r>
      <w:r w:rsidR="001F6BE2" w:rsidRPr="00D61255">
        <w:rPr>
          <w:rFonts w:ascii="Garamond" w:hAnsi="Garamond"/>
          <w:sz w:val="22"/>
          <w:szCs w:val="22"/>
        </w:rPr>
        <w:t xml:space="preserve"> « soutien à notre centre équestre</w:t>
      </w:r>
      <w:r w:rsidR="00D61255">
        <w:rPr>
          <w:rFonts w:ascii="Garamond" w:hAnsi="Garamond"/>
          <w:sz w:val="22"/>
          <w:szCs w:val="22"/>
        </w:rPr>
        <w:t xml:space="preserve"> ». </w:t>
      </w:r>
      <w:r w:rsidRPr="00D61255">
        <w:rPr>
          <w:rFonts w:ascii="Garamond" w:hAnsi="Garamond"/>
          <w:sz w:val="22"/>
          <w:szCs w:val="22"/>
        </w:rPr>
        <w:t xml:space="preserve">Elle </w:t>
      </w:r>
      <w:r w:rsidR="00D61255">
        <w:rPr>
          <w:rFonts w:ascii="Garamond" w:hAnsi="Garamond"/>
          <w:sz w:val="22"/>
          <w:szCs w:val="22"/>
        </w:rPr>
        <w:t xml:space="preserve">pense que la commune doit se montrer solidaire et </w:t>
      </w:r>
      <w:r w:rsidRPr="00D61255">
        <w:rPr>
          <w:rFonts w:ascii="Garamond" w:hAnsi="Garamond"/>
          <w:sz w:val="22"/>
          <w:szCs w:val="22"/>
        </w:rPr>
        <w:t>propose au conseil de soutenir le centre équestre en lui allouant une subvention</w:t>
      </w:r>
      <w:r w:rsidR="00D61255">
        <w:rPr>
          <w:rFonts w:ascii="Garamond" w:hAnsi="Garamond"/>
          <w:sz w:val="22"/>
          <w:szCs w:val="22"/>
        </w:rPr>
        <w:t>, dont le montant sera déterminé en fonction du solde disponible sur ce compte.</w:t>
      </w:r>
      <w:r w:rsidRPr="00D61255">
        <w:rPr>
          <w:rFonts w:ascii="Garamond" w:hAnsi="Garamond"/>
          <w:sz w:val="22"/>
          <w:szCs w:val="22"/>
        </w:rPr>
        <w:t xml:space="preserve"> Par ailleurs, la commune mettra la salle communale gracieusement à disposition pour </w:t>
      </w:r>
      <w:r w:rsidR="001F6BE2" w:rsidRPr="00D61255">
        <w:rPr>
          <w:rFonts w:ascii="Garamond" w:hAnsi="Garamond"/>
          <w:sz w:val="22"/>
          <w:szCs w:val="22"/>
        </w:rPr>
        <w:t>la fête du centre équestre.</w:t>
      </w:r>
    </w:p>
    <w:p w14:paraId="1CCD415B" w14:textId="0950FFC0" w:rsidR="001F6BE2" w:rsidRPr="00D61255" w:rsidRDefault="001F6BE2" w:rsidP="00D460DB">
      <w:pPr>
        <w:ind w:right="282"/>
        <w:jc w:val="mediumKashida"/>
        <w:rPr>
          <w:rFonts w:ascii="Garamond" w:hAnsi="Garamond"/>
          <w:sz w:val="22"/>
          <w:szCs w:val="22"/>
        </w:rPr>
      </w:pPr>
    </w:p>
    <w:p w14:paraId="137061B2" w14:textId="209DB81D" w:rsidR="001F6BE2" w:rsidRPr="00D61255" w:rsidRDefault="001F6BE2" w:rsidP="00D460DB">
      <w:pPr>
        <w:ind w:right="282"/>
        <w:jc w:val="mediumKashida"/>
        <w:rPr>
          <w:rFonts w:ascii="Garamond" w:hAnsi="Garamond"/>
          <w:sz w:val="22"/>
          <w:szCs w:val="22"/>
        </w:rPr>
      </w:pPr>
      <w:r w:rsidRPr="00D61255">
        <w:rPr>
          <w:rFonts w:ascii="Garamond" w:hAnsi="Garamond"/>
          <w:sz w:val="22"/>
          <w:szCs w:val="22"/>
        </w:rPr>
        <w:t>Tous les points à l’ordre du jour étant traités, la séance est clôturée à 19 h 30.</w:t>
      </w:r>
    </w:p>
    <w:p w14:paraId="24442FD7" w14:textId="77777777" w:rsidR="000F1CBE" w:rsidRPr="00D61255" w:rsidRDefault="000F1CBE">
      <w:pPr>
        <w:pStyle w:val="Standard"/>
        <w:rPr>
          <w:rFonts w:hint="eastAsia"/>
          <w:b/>
          <w:bCs/>
          <w:sz w:val="22"/>
          <w:szCs w:val="22"/>
        </w:rPr>
      </w:pPr>
    </w:p>
    <w:p w14:paraId="50FC3E09" w14:textId="77777777" w:rsidR="000F1CBE" w:rsidRPr="00D61255" w:rsidRDefault="000F1CBE">
      <w:pPr>
        <w:pStyle w:val="Standard"/>
        <w:rPr>
          <w:rFonts w:hint="eastAsia"/>
          <w:sz w:val="22"/>
          <w:szCs w:val="22"/>
        </w:rPr>
      </w:pPr>
    </w:p>
    <w:sectPr w:rsidR="000F1CBE" w:rsidRPr="00D6125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82E4" w14:textId="77777777" w:rsidR="009E79CA" w:rsidRDefault="009E79CA">
      <w:pPr>
        <w:rPr>
          <w:rFonts w:hint="eastAsia"/>
        </w:rPr>
      </w:pPr>
      <w:r>
        <w:separator/>
      </w:r>
    </w:p>
  </w:endnote>
  <w:endnote w:type="continuationSeparator" w:id="0">
    <w:p w14:paraId="4568ED55" w14:textId="77777777" w:rsidR="009E79CA" w:rsidRDefault="009E79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67A5" w14:textId="77777777" w:rsidR="009E79CA" w:rsidRDefault="009E79C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C5ED945" w14:textId="77777777" w:rsidR="009E79CA" w:rsidRDefault="009E79C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CBE"/>
    <w:rsid w:val="000A7418"/>
    <w:rsid w:val="000E17CD"/>
    <w:rsid w:val="000F1CBE"/>
    <w:rsid w:val="001F6BE2"/>
    <w:rsid w:val="0029063B"/>
    <w:rsid w:val="003844A9"/>
    <w:rsid w:val="003E3F81"/>
    <w:rsid w:val="004B2F71"/>
    <w:rsid w:val="005D1862"/>
    <w:rsid w:val="006D2907"/>
    <w:rsid w:val="00747A79"/>
    <w:rsid w:val="007F234C"/>
    <w:rsid w:val="008D1B1C"/>
    <w:rsid w:val="008F51B5"/>
    <w:rsid w:val="00974F06"/>
    <w:rsid w:val="009A0400"/>
    <w:rsid w:val="009E4C17"/>
    <w:rsid w:val="009E79CA"/>
    <w:rsid w:val="00B53437"/>
    <w:rsid w:val="00BA65C0"/>
    <w:rsid w:val="00D460DB"/>
    <w:rsid w:val="00D61255"/>
    <w:rsid w:val="00E04DA8"/>
    <w:rsid w:val="00F30FC1"/>
    <w:rsid w:val="00F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99AAD0"/>
  <w15:docId w15:val="{F311695E-64E5-6B44-9FBB-B1A755FD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880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isabelle roussel</cp:lastModifiedBy>
  <cp:revision>8</cp:revision>
  <cp:lastPrinted>2023-12-11T11:09:00Z</cp:lastPrinted>
  <dcterms:created xsi:type="dcterms:W3CDTF">2023-12-11T09:59:00Z</dcterms:created>
  <dcterms:modified xsi:type="dcterms:W3CDTF">2023-12-16T18:10:00Z</dcterms:modified>
</cp:coreProperties>
</file>